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62" w:rsidRPr="00523656" w:rsidRDefault="00C744B4" w:rsidP="00E13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Purple Sheet </w:t>
      </w:r>
      <w:bookmarkStart w:id="0" w:name="_GoBack"/>
      <w:bookmarkEnd w:id="0"/>
      <w:r w:rsidR="00E13362">
        <w:rPr>
          <w:rFonts w:ascii="Times New Roman" w:hAnsi="Times New Roman" w:cs="Times New Roman"/>
          <w:b/>
          <w:sz w:val="28"/>
          <w:szCs w:val="28"/>
        </w:rPr>
        <w:t>UNIT 11:</w:t>
      </w:r>
      <w:r w:rsidR="00E13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362">
        <w:rPr>
          <w:rFonts w:ascii="Times New Roman" w:hAnsi="Times New Roman" w:cs="Times New Roman"/>
          <w:b/>
          <w:sz w:val="28"/>
          <w:szCs w:val="28"/>
        </w:rPr>
        <w:t>1968-1989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040"/>
        <w:gridCol w:w="6408"/>
      </w:tblGrid>
      <w:tr w:rsidR="00E13362" w:rsidTr="00F92D98">
        <w:tc>
          <w:tcPr>
            <w:tcW w:w="3168" w:type="dxa"/>
          </w:tcPr>
          <w:p w:rsidR="00E13362" w:rsidRPr="008D2491" w:rsidRDefault="00E13362" w:rsidP="00F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1">
              <w:rPr>
                <w:rFonts w:ascii="Times New Roman" w:hAnsi="Times New Roman" w:cs="Times New Roman"/>
                <w:b/>
                <w:sz w:val="24"/>
                <w:szCs w:val="24"/>
              </w:rPr>
              <w:t>Terms/Concepts</w:t>
            </w:r>
          </w:p>
        </w:tc>
        <w:tc>
          <w:tcPr>
            <w:tcW w:w="5040" w:type="dxa"/>
          </w:tcPr>
          <w:p w:rsidR="00E13362" w:rsidRPr="008D2491" w:rsidRDefault="00E13362" w:rsidP="00F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E13362" w:rsidRPr="008D2491" w:rsidRDefault="00E13362" w:rsidP="00F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1">
              <w:rPr>
                <w:rFonts w:ascii="Times New Roman" w:hAnsi="Times New Roman" w:cs="Times New Roman"/>
                <w:b/>
                <w:sz w:val="24"/>
                <w:szCs w:val="24"/>
              </w:rPr>
              <w:t>Analysis Questions</w:t>
            </w:r>
          </w:p>
        </w:tc>
      </w:tr>
      <w:tr w:rsidR="00E13362" w:rsidTr="00F92D98">
        <w:tc>
          <w:tcPr>
            <w:tcW w:w="3168" w:type="dxa"/>
            <w:shd w:val="clear" w:color="auto" w:fill="A6A6A6" w:themeFill="background1" w:themeFillShade="A6"/>
          </w:tcPr>
          <w:p w:rsidR="00E13362" w:rsidRPr="008D2491" w:rsidRDefault="00E13362" w:rsidP="00F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6A6A6" w:themeFill="background1" w:themeFillShade="A6"/>
          </w:tcPr>
          <w:p w:rsidR="00E13362" w:rsidRPr="008D2491" w:rsidRDefault="00E13362" w:rsidP="00F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1960-1980</w:t>
            </w: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Pr="008D2491" w:rsidRDefault="00E13362" w:rsidP="00F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Protest Movement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protests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what ways were the protest movements of the 1960s-1980s similar, what tactics did they share? </w:t>
            </w: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Cesar Chavez/United Farmworkers 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Indian Movement</w:t>
            </w:r>
          </w:p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“Trail of Broken Treaties”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Japanese American Citizens League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Gay Liberation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Feminism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Steinem</w:t>
            </w:r>
          </w:p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Betty Friedan- </w:t>
            </w:r>
            <w:r w:rsidRPr="004B1234">
              <w:rPr>
                <w:rFonts w:ascii="Times New Roman" w:hAnsi="Times New Roman" w:cs="Times New Roman"/>
                <w:i/>
                <w:sz w:val="24"/>
                <w:szCs w:val="24"/>
              </w:rPr>
              <w:t>“The Feminine Mystique”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Phyllis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Schlafly</w:t>
            </w:r>
            <w:proofErr w:type="spellEnd"/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 (Equal Rights Amendment)/STOP ERA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Movement</w:t>
            </w:r>
          </w:p>
          <w:p w:rsidR="00E13362" w:rsidRPr="00E13362" w:rsidRDefault="00E13362" w:rsidP="00E133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Carson/Silent Spring</w:t>
            </w: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6A6A6" w:themeFill="background1" w:themeFillShade="A6"/>
          </w:tcPr>
          <w:p w:rsidR="00E13362" w:rsidRPr="008D2491" w:rsidRDefault="00E13362" w:rsidP="00F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1968-1974</w:t>
            </w: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Nixon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8112E7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“silent majority”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 w:val="restart"/>
          </w:tcPr>
          <w:p w:rsidR="00E13362" w:rsidRDefault="008112E7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Nixon use the southern strategy to help move the Solid (Democratic) South to one that began to support the Republican party?</w:t>
            </w: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8112E7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Strategy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8112E7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Pentagon Papers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8112E7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Henry Kissinger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8112E7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SALT I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Pr="008112E7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Equal Employment Opportunity Commission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13362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would the concept of “affirmative action” become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contaversial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college admissions as well as the workplace? </w:t>
            </w:r>
          </w:p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8112E7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IX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8112E7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Roe V. Wade (1973)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8112E7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Spiro Agnew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8112E7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Environmental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Protectation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Agency (EPA)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8112E7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 Powers Resolution (1973) 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13362" w:rsidRDefault="008112E7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did the War Powers Resolution attempt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limit </w:t>
            </w:r>
            <w:r w:rsidR="00E13362">
              <w:rPr>
                <w:rFonts w:ascii="Times New Roman" w:hAnsi="Times New Roman" w:cs="Times New Roman"/>
                <w:sz w:val="24"/>
                <w:szCs w:val="24"/>
              </w:rPr>
              <w:t xml:space="preserve"> presidential</w:t>
            </w:r>
            <w:proofErr w:type="gramEnd"/>
            <w:r w:rsidR="00E13362">
              <w:rPr>
                <w:rFonts w:ascii="Times New Roman" w:hAnsi="Times New Roman" w:cs="Times New Roman"/>
                <w:sz w:val="24"/>
                <w:szCs w:val="24"/>
              </w:rPr>
              <w:t xml:space="preserve"> powers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during a time of war</w:t>
            </w:r>
            <w:r w:rsidR="00E1336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“crisis of authority”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34" w:rsidTr="004B1234">
        <w:tc>
          <w:tcPr>
            <w:tcW w:w="3168" w:type="dxa"/>
          </w:tcPr>
          <w:p w:rsidR="004B1234" w:rsidRPr="00B842C5" w:rsidRDefault="004B1234" w:rsidP="00BE523B">
            <w:proofErr w:type="spellStart"/>
            <w:r w:rsidRPr="00B842C5">
              <w:t>Detante</w:t>
            </w:r>
            <w:proofErr w:type="spellEnd"/>
          </w:p>
        </w:tc>
        <w:tc>
          <w:tcPr>
            <w:tcW w:w="5040" w:type="dxa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34">
              <w:rPr>
                <w:rFonts w:ascii="Times New Roman" w:hAnsi="Times New Roman" w:cs="Times New Roman"/>
                <w:sz w:val="24"/>
                <w:szCs w:val="24"/>
              </w:rPr>
              <w:t>How did Détente reflect a shift foreign policy towards the Soviet Union compared to the era of “brinksmanship” in the 1960s?</w:t>
            </w:r>
          </w:p>
        </w:tc>
      </w:tr>
      <w:tr w:rsidR="004B1234" w:rsidTr="004B1234">
        <w:tc>
          <w:tcPr>
            <w:tcW w:w="3168" w:type="dxa"/>
          </w:tcPr>
          <w:p w:rsidR="004B1234" w:rsidRDefault="004B1234" w:rsidP="00BE523B">
            <w:r w:rsidRPr="00B842C5">
              <w:t>OPEC</w:t>
            </w:r>
          </w:p>
        </w:tc>
        <w:tc>
          <w:tcPr>
            <w:tcW w:w="5040" w:type="dxa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Stagflation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and Wage Control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34">
              <w:rPr>
                <w:rFonts w:ascii="Times New Roman" w:hAnsi="Times New Roman" w:cs="Times New Roman"/>
                <w:sz w:val="24"/>
                <w:szCs w:val="24"/>
              </w:rPr>
              <w:t>Paris Peace Accords- 1973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62" w:rsidTr="00F92D98">
        <w:tc>
          <w:tcPr>
            <w:tcW w:w="3168" w:type="dxa"/>
          </w:tcPr>
          <w:p w:rsidR="00E13362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the Vietnam War- (when, where, impact in Cambodia from 1975-1979)</w:t>
            </w:r>
          </w:p>
        </w:tc>
        <w:tc>
          <w:tcPr>
            <w:tcW w:w="5040" w:type="dxa"/>
          </w:tcPr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13362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is “Vietnam syndrome” a lesson for future wars that America is involved? Are there lessons to be learned from our first defeat? </w:t>
            </w: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62" w:rsidRDefault="00E1336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34" w:rsidTr="00BC1430">
        <w:tc>
          <w:tcPr>
            <w:tcW w:w="3168" w:type="dxa"/>
            <w:shd w:val="clear" w:color="auto" w:fill="BFBFBF" w:themeFill="background1" w:themeFillShade="BF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BFBFBF" w:themeFill="background1" w:themeFillShade="BF"/>
          </w:tcPr>
          <w:p w:rsidR="004B1234" w:rsidRPr="008D2491" w:rsidRDefault="00BC1430" w:rsidP="00F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1974-1980- Ford and Carter</w:t>
            </w:r>
          </w:p>
        </w:tc>
        <w:tc>
          <w:tcPr>
            <w:tcW w:w="6408" w:type="dxa"/>
            <w:shd w:val="clear" w:color="auto" w:fill="BFBFBF" w:themeFill="background1" w:themeFillShade="BF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34" w:rsidTr="00BC1430">
        <w:tc>
          <w:tcPr>
            <w:tcW w:w="3168" w:type="dxa"/>
          </w:tcPr>
          <w:p w:rsidR="004B1234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CREEP</w:t>
            </w:r>
          </w:p>
        </w:tc>
        <w:tc>
          <w:tcPr>
            <w:tcW w:w="5040" w:type="dxa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BFBFBF" w:themeFill="background1" w:themeFillShade="BF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34" w:rsidTr="004B1234">
        <w:tc>
          <w:tcPr>
            <w:tcW w:w="3168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Watergate Scandal- </w:t>
            </w:r>
          </w:p>
          <w:p w:rsidR="004B1234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1972-1974</w:t>
            </w:r>
          </w:p>
        </w:tc>
        <w:tc>
          <w:tcPr>
            <w:tcW w:w="5040" w:type="dxa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 w:val="restart"/>
          </w:tcPr>
          <w:p w:rsidR="004B1234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is the Watergate scandal an example of how all three branches of government worked to solve a crisis? </w:t>
            </w:r>
          </w:p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34" w:rsidTr="004B1234">
        <w:tc>
          <w:tcPr>
            <w:tcW w:w="3168" w:type="dxa"/>
          </w:tcPr>
          <w:p w:rsidR="00BC1430" w:rsidRDefault="00BC1430" w:rsidP="00BC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Impeachment</w:t>
            </w:r>
          </w:p>
        </w:tc>
        <w:tc>
          <w:tcPr>
            <w:tcW w:w="5040" w:type="dxa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34" w:rsidTr="00BC1430">
        <w:tc>
          <w:tcPr>
            <w:tcW w:w="3168" w:type="dxa"/>
          </w:tcPr>
          <w:p w:rsidR="004B1234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Pardon</w:t>
            </w:r>
          </w:p>
        </w:tc>
        <w:tc>
          <w:tcPr>
            <w:tcW w:w="5040" w:type="dxa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BFBFBF" w:themeFill="background1" w:themeFillShade="BF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34" w:rsidTr="00BC1430">
        <w:tc>
          <w:tcPr>
            <w:tcW w:w="3168" w:type="dxa"/>
          </w:tcPr>
          <w:p w:rsidR="004B1234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Whip Inflation Now (WIN)</w:t>
            </w:r>
          </w:p>
        </w:tc>
        <w:tc>
          <w:tcPr>
            <w:tcW w:w="5040" w:type="dxa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BFBFBF" w:themeFill="background1" w:themeFillShade="BF"/>
          </w:tcPr>
          <w:p w:rsidR="004B1234" w:rsidRDefault="004B123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30" w:rsidTr="00F92D98">
        <w:tc>
          <w:tcPr>
            <w:tcW w:w="3168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Helsinki Accords</w:t>
            </w:r>
          </w:p>
        </w:tc>
        <w:tc>
          <w:tcPr>
            <w:tcW w:w="5040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30" w:rsidTr="00BC1430">
        <w:tc>
          <w:tcPr>
            <w:tcW w:w="3168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 election</w:t>
            </w:r>
          </w:p>
        </w:tc>
        <w:tc>
          <w:tcPr>
            <w:tcW w:w="5040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is being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“Washington outsider” a benefit for the Carter Presidential campaign in 1976? </w:t>
            </w:r>
          </w:p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30" w:rsidTr="00F92D98">
        <w:tc>
          <w:tcPr>
            <w:tcW w:w="3168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II</w:t>
            </w:r>
          </w:p>
        </w:tc>
        <w:tc>
          <w:tcPr>
            <w:tcW w:w="5040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30" w:rsidTr="00F92D98">
        <w:tc>
          <w:tcPr>
            <w:tcW w:w="3168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Panama Canal</w:t>
            </w:r>
          </w:p>
        </w:tc>
        <w:tc>
          <w:tcPr>
            <w:tcW w:w="5040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30" w:rsidTr="00F92D98">
        <w:tc>
          <w:tcPr>
            <w:tcW w:w="3168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Iran Hostage Crisis</w:t>
            </w:r>
          </w:p>
        </w:tc>
        <w:tc>
          <w:tcPr>
            <w:tcW w:w="5040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the crisis contribute to Carter’s “crisis of confidence” as perceived by the American public? </w:t>
            </w:r>
          </w:p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30" w:rsidTr="00F92D98">
        <w:tc>
          <w:tcPr>
            <w:tcW w:w="3168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Speech</w:t>
            </w:r>
          </w:p>
        </w:tc>
        <w:tc>
          <w:tcPr>
            <w:tcW w:w="5040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30" w:rsidTr="00F92D98">
        <w:tc>
          <w:tcPr>
            <w:tcW w:w="3168" w:type="dxa"/>
          </w:tcPr>
          <w:p w:rsidR="00BC1430" w:rsidRPr="00B842C5" w:rsidRDefault="00BA34C5" w:rsidP="00F92D98">
            <w:r>
              <w:t>Energy Crisis</w:t>
            </w:r>
          </w:p>
        </w:tc>
        <w:tc>
          <w:tcPr>
            <w:tcW w:w="5040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30" w:rsidTr="00F92D98">
        <w:tc>
          <w:tcPr>
            <w:tcW w:w="3168" w:type="dxa"/>
          </w:tcPr>
          <w:p w:rsidR="00BC1430" w:rsidRDefault="00BA34C5" w:rsidP="00F92D98">
            <w:r>
              <w:t>3 Mile Island Nuclear Accident</w:t>
            </w:r>
          </w:p>
        </w:tc>
        <w:tc>
          <w:tcPr>
            <w:tcW w:w="5040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30" w:rsidTr="00F92D98">
        <w:tc>
          <w:tcPr>
            <w:tcW w:w="3168" w:type="dxa"/>
          </w:tcPr>
          <w:p w:rsidR="00BC1430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C5">
              <w:rPr>
                <w:rFonts w:ascii="Times New Roman" w:hAnsi="Times New Roman" w:cs="Times New Roman"/>
                <w:sz w:val="24"/>
                <w:szCs w:val="24"/>
              </w:rPr>
              <w:t>Camp David Accords</w:t>
            </w:r>
          </w:p>
        </w:tc>
        <w:tc>
          <w:tcPr>
            <w:tcW w:w="5040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30" w:rsidTr="00BA34C5">
        <w:tc>
          <w:tcPr>
            <w:tcW w:w="3168" w:type="dxa"/>
          </w:tcPr>
          <w:p w:rsidR="00BC1430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Regents of UC v Bakke (1978) </w:t>
            </w:r>
          </w:p>
        </w:tc>
        <w:tc>
          <w:tcPr>
            <w:tcW w:w="5040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FFFFFF" w:themeFill="background1"/>
          </w:tcPr>
          <w:p w:rsidR="00BC1430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reverse discrimination? </w:t>
            </w:r>
          </w:p>
        </w:tc>
      </w:tr>
      <w:tr w:rsidR="00BC1430" w:rsidTr="00F92D98">
        <w:tc>
          <w:tcPr>
            <w:tcW w:w="3168" w:type="dxa"/>
          </w:tcPr>
          <w:p w:rsidR="00BC1430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Conservatism</w:t>
            </w:r>
          </w:p>
        </w:tc>
        <w:tc>
          <w:tcPr>
            <w:tcW w:w="5040" w:type="dxa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BC1430" w:rsidRDefault="00BC1430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5" w:rsidTr="00BA34C5">
        <w:tc>
          <w:tcPr>
            <w:tcW w:w="3168" w:type="dxa"/>
            <w:shd w:val="clear" w:color="auto" w:fill="BFBFBF" w:themeFill="background1" w:themeFillShade="BF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BFBFBF" w:themeFill="background1" w:themeFillShade="BF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Reagan 1980-1989</w:t>
            </w:r>
          </w:p>
        </w:tc>
        <w:tc>
          <w:tcPr>
            <w:tcW w:w="6408" w:type="dxa"/>
            <w:shd w:val="clear" w:color="auto" w:fill="BFBFBF" w:themeFill="background1" w:themeFillShade="BF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5" w:rsidTr="00BA34C5">
        <w:tc>
          <w:tcPr>
            <w:tcW w:w="3168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of 1980</w:t>
            </w:r>
          </w:p>
        </w:tc>
        <w:tc>
          <w:tcPr>
            <w:tcW w:w="5040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is the election of 1980 an example of changing voting patterns (i.e. South voting republican)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5" w:rsidTr="00BA34C5">
        <w:tc>
          <w:tcPr>
            <w:tcW w:w="3168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Ronald Reagan</w:t>
            </w:r>
          </w:p>
        </w:tc>
        <w:tc>
          <w:tcPr>
            <w:tcW w:w="5040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5" w:rsidTr="00BA34C5">
        <w:tc>
          <w:tcPr>
            <w:tcW w:w="3168" w:type="dxa"/>
          </w:tcPr>
          <w:p w:rsidR="00BA34C5" w:rsidRDefault="00573CC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Day O’Connor</w:t>
            </w:r>
          </w:p>
        </w:tc>
        <w:tc>
          <w:tcPr>
            <w:tcW w:w="5040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5" w:rsidTr="00BA34C5">
        <w:tc>
          <w:tcPr>
            <w:tcW w:w="3168" w:type="dxa"/>
          </w:tcPr>
          <w:p w:rsidR="00BA34C5" w:rsidRDefault="00573CC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Reganomics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5040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A34C5" w:rsidRDefault="00573CC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was “supply side” or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trickle down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economics”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 from the large government programs like FDR’s New Deal and LBJ’s Great society? </w:t>
            </w:r>
          </w:p>
          <w:p w:rsidR="00573CC2" w:rsidRDefault="00573CC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5" w:rsidTr="00BA34C5">
        <w:tc>
          <w:tcPr>
            <w:tcW w:w="3168" w:type="dxa"/>
          </w:tcPr>
          <w:p w:rsidR="00BA34C5" w:rsidRDefault="00573CC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Iran Contra Scandal</w:t>
            </w:r>
          </w:p>
        </w:tc>
        <w:tc>
          <w:tcPr>
            <w:tcW w:w="5040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5" w:rsidTr="00BA34C5">
        <w:tc>
          <w:tcPr>
            <w:tcW w:w="3168" w:type="dxa"/>
          </w:tcPr>
          <w:p w:rsidR="00573CC2" w:rsidRPr="00B842C5" w:rsidRDefault="00573CC2" w:rsidP="00F92D98">
            <w:r>
              <w:t xml:space="preserve">Strategic Defense </w:t>
            </w:r>
            <w:proofErr w:type="spellStart"/>
            <w:r>
              <w:t>Initative</w:t>
            </w:r>
            <w:proofErr w:type="spellEnd"/>
          </w:p>
        </w:tc>
        <w:tc>
          <w:tcPr>
            <w:tcW w:w="5040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A34C5" w:rsidRDefault="00573CC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was the building of SDI a return to “brinksmanship”</w:t>
            </w:r>
          </w:p>
          <w:p w:rsidR="00573CC2" w:rsidRDefault="00573CC2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5" w:rsidTr="00BA34C5">
        <w:tc>
          <w:tcPr>
            <w:tcW w:w="3168" w:type="dxa"/>
          </w:tcPr>
          <w:p w:rsidR="00573CC2" w:rsidRDefault="00573CC2" w:rsidP="00F92D98">
            <w:r>
              <w:t>Moral Majority</w:t>
            </w:r>
          </w:p>
          <w:p w:rsidR="00573CC2" w:rsidRDefault="00573CC2" w:rsidP="00F92D98">
            <w:r>
              <w:t>“blue dog “ Democrats</w:t>
            </w:r>
          </w:p>
        </w:tc>
        <w:tc>
          <w:tcPr>
            <w:tcW w:w="5040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5" w:rsidTr="00BA34C5">
        <w:tc>
          <w:tcPr>
            <w:tcW w:w="3168" w:type="dxa"/>
          </w:tcPr>
          <w:p w:rsidR="00BA34C5" w:rsidRDefault="00C744B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Mikhail Gorbachev</w:t>
            </w:r>
          </w:p>
          <w:p w:rsidR="00C744B4" w:rsidRDefault="00C744B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A34C5" w:rsidRDefault="00C744B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did the Soviet Programs of Glasnost and Perestroika a change from former policies? </w:t>
            </w:r>
          </w:p>
        </w:tc>
      </w:tr>
      <w:tr w:rsidR="00BA34C5" w:rsidTr="00BA34C5">
        <w:tc>
          <w:tcPr>
            <w:tcW w:w="3168" w:type="dxa"/>
          </w:tcPr>
          <w:p w:rsidR="00BA34C5" w:rsidRDefault="00C744B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B4">
              <w:rPr>
                <w:rFonts w:ascii="Times New Roman" w:hAnsi="Times New Roman" w:cs="Times New Roman"/>
                <w:sz w:val="24"/>
                <w:szCs w:val="24"/>
              </w:rPr>
              <w:t>Intermediate-Range Nuclear Forces Treaty</w:t>
            </w:r>
          </w:p>
        </w:tc>
        <w:tc>
          <w:tcPr>
            <w:tcW w:w="5040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5" w:rsidTr="00BA34C5">
        <w:tc>
          <w:tcPr>
            <w:tcW w:w="3168" w:type="dxa"/>
          </w:tcPr>
          <w:p w:rsidR="00BA34C5" w:rsidRDefault="00C744B4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of the Berlin Wall (1989)</w:t>
            </w:r>
          </w:p>
        </w:tc>
        <w:tc>
          <w:tcPr>
            <w:tcW w:w="5040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A34C5" w:rsidRDefault="00BA34C5" w:rsidP="00F9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362" w:rsidRDefault="00C744B4" w:rsidP="00E133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Essential Questions- 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What was the trigger for the changes in sentiment toward the government and has this changed in the modern times?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What expectation of privacy does a public official, such as the president, deserve?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 xml:space="preserve">Under what circumstances </w:t>
      </w:r>
      <w:proofErr w:type="gramStart"/>
      <w:r w:rsidRPr="00C744B4">
        <w:rPr>
          <w:rFonts w:ascii="Times New Roman" w:hAnsi="Times New Roman" w:cs="Times New Roman"/>
          <w:b/>
          <w:sz w:val="24"/>
          <w:szCs w:val="24"/>
        </w:rPr>
        <w:t>should a president</w:t>
      </w:r>
      <w:proofErr w:type="gramEnd"/>
      <w:r w:rsidRPr="00C744B4">
        <w:rPr>
          <w:rFonts w:ascii="Times New Roman" w:hAnsi="Times New Roman" w:cs="Times New Roman"/>
          <w:b/>
          <w:sz w:val="24"/>
          <w:szCs w:val="24"/>
        </w:rPr>
        <w:t xml:space="preserve"> be removed from office?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What stops government abuse of power?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should Nixon have been punished for Watergate?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would the "founding fathers" have reacted to Reagan's view of the US government?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What role should the US play in internal disputes in other countries?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Explain why being an actor helped Ronald Reagan?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What makes a great communicator?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did the election of Ronald Reagan change domestic policies in the US?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did Reagan policies change the role of the US in the world?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Why did white southerners join the Republican Party in the 70's and 80's?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and why the Watergate burglary led to a cover up by President Richard Nixon</w:t>
      </w:r>
    </w:p>
    <w:p w:rsid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44B4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C744B4">
        <w:rPr>
          <w:rFonts w:ascii="Times New Roman" w:hAnsi="Times New Roman" w:cs="Times New Roman"/>
          <w:b/>
          <w:sz w:val="24"/>
          <w:szCs w:val="24"/>
        </w:rPr>
        <w:t xml:space="preserve"> his staff, a Congressional investigation, and the first resignation of a United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States president.</w:t>
      </w:r>
    </w:p>
    <w:p w:rsid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To what extent the Reagan administration’s escalation of defense spending and use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of anti-commun</w:t>
      </w:r>
      <w:r>
        <w:rPr>
          <w:rFonts w:ascii="Times New Roman" w:hAnsi="Times New Roman" w:cs="Times New Roman"/>
          <w:b/>
          <w:sz w:val="24"/>
          <w:szCs w:val="24"/>
        </w:rPr>
        <w:t>ist rhetoric ended the Cold War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presidential scandals influenced various presidential administrations and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political development of the nation (e.g., Warren G. Harding, Richard Nixon,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Ronald Reagan and Bill Clinton)</w:t>
      </w:r>
    </w:p>
    <w:p w:rsid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an increase in oil prices and government spending during the Vietnam War led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to “stagflation” and a national economic recession during the 1970s.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the policy of supply-side economics or “Reaganomics” worked and how 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impacted the American economy at the end of the 20th Century.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and why an economic recession took place in the early 21s</w:t>
      </w:r>
    </w:p>
    <w:p w:rsid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the African-American civil rights movement influenced the development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other civil rights movements during the 20th Century (e.g., feminist movement,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Chicano Movement and American Indian Movement).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and why student and youth led movements formed to protest United States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involvement in the Vietnam War and to what extent the movements impacted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nation’s politics and war efforts.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the Watergate scandal tested the balance of power between President Richard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Nixon, the United States Congress and the United States Supreme Court.</w:t>
      </w:r>
    </w:p>
    <w:p w:rsid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the escalation and loss of the Vietnam War affected United States international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relations during and since the Cold War.</w:t>
      </w:r>
    </w:p>
    <w:p w:rsidR="00C744B4" w:rsidRPr="00C744B4" w:rsidRDefault="00C744B4" w:rsidP="00C744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44B4">
        <w:rPr>
          <w:rFonts w:ascii="Times New Roman" w:hAnsi="Times New Roman" w:cs="Times New Roman"/>
          <w:b/>
          <w:sz w:val="24"/>
          <w:szCs w:val="24"/>
        </w:rPr>
        <w:t>How the foreign policy initiative of “détente” guided the international affairs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Nixon administration during the Cold War.</w:t>
      </w:r>
    </w:p>
    <w:p w:rsidR="00566E22" w:rsidRDefault="00C744B4" w:rsidP="00C744B4">
      <w:pPr>
        <w:pStyle w:val="ListParagraph"/>
        <w:numPr>
          <w:ilvl w:val="0"/>
          <w:numId w:val="4"/>
        </w:numPr>
      </w:pPr>
      <w:r w:rsidRPr="00C744B4">
        <w:rPr>
          <w:rFonts w:ascii="Times New Roman" w:hAnsi="Times New Roman" w:cs="Times New Roman"/>
          <w:b/>
          <w:sz w:val="24"/>
          <w:szCs w:val="24"/>
        </w:rPr>
        <w:t>How and to what extent the Reagan administration’s escalation of defense spending</w:t>
      </w:r>
      <w:r w:rsidRPr="00C74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4B4">
        <w:rPr>
          <w:rFonts w:ascii="Times New Roman" w:hAnsi="Times New Roman" w:cs="Times New Roman"/>
          <w:b/>
          <w:sz w:val="24"/>
          <w:szCs w:val="24"/>
        </w:rPr>
        <w:t>and use of anti-communist rhetoric ended the Cold War.</w:t>
      </w:r>
    </w:p>
    <w:sectPr w:rsidR="00566E22" w:rsidSect="00E133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30" w:rsidRDefault="00BC1430" w:rsidP="00BC1430">
      <w:pPr>
        <w:spacing w:after="0" w:line="240" w:lineRule="auto"/>
      </w:pPr>
      <w:r>
        <w:separator/>
      </w:r>
    </w:p>
  </w:endnote>
  <w:endnote w:type="continuationSeparator" w:id="0">
    <w:p w:rsidR="00BC1430" w:rsidRDefault="00BC1430" w:rsidP="00BC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30" w:rsidRDefault="00BC1430" w:rsidP="00BC1430">
      <w:pPr>
        <w:spacing w:after="0" w:line="240" w:lineRule="auto"/>
      </w:pPr>
      <w:r>
        <w:separator/>
      </w:r>
    </w:p>
  </w:footnote>
  <w:footnote w:type="continuationSeparator" w:id="0">
    <w:p w:rsidR="00BC1430" w:rsidRDefault="00BC1430" w:rsidP="00BC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B4B"/>
    <w:multiLevelType w:val="hybridMultilevel"/>
    <w:tmpl w:val="92A2FEF6"/>
    <w:lvl w:ilvl="0" w:tplc="24BEF200">
      <w:start w:val="19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3D06"/>
    <w:multiLevelType w:val="hybridMultilevel"/>
    <w:tmpl w:val="27A2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DA6928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6A11"/>
    <w:multiLevelType w:val="hybridMultilevel"/>
    <w:tmpl w:val="9A1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F3072"/>
    <w:multiLevelType w:val="hybridMultilevel"/>
    <w:tmpl w:val="7E1ECB20"/>
    <w:lvl w:ilvl="0" w:tplc="783AE09C">
      <w:start w:val="19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62"/>
    <w:rsid w:val="004B1234"/>
    <w:rsid w:val="00566E22"/>
    <w:rsid w:val="00573CC2"/>
    <w:rsid w:val="008112E7"/>
    <w:rsid w:val="00BA34C5"/>
    <w:rsid w:val="00BC1430"/>
    <w:rsid w:val="00C744B4"/>
    <w:rsid w:val="00C847BA"/>
    <w:rsid w:val="00E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30"/>
  </w:style>
  <w:style w:type="paragraph" w:styleId="Footer">
    <w:name w:val="footer"/>
    <w:basedOn w:val="Normal"/>
    <w:link w:val="FooterChar"/>
    <w:uiPriority w:val="99"/>
    <w:unhideWhenUsed/>
    <w:rsid w:val="00BC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30"/>
  </w:style>
  <w:style w:type="paragraph" w:styleId="Footer">
    <w:name w:val="footer"/>
    <w:basedOn w:val="Normal"/>
    <w:link w:val="FooterChar"/>
    <w:uiPriority w:val="99"/>
    <w:unhideWhenUsed/>
    <w:rsid w:val="00BC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2B69-FF76-48D1-B4EE-F8EBE354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hvinson</dc:creator>
  <cp:lastModifiedBy>hvinson</cp:lastModifiedBy>
  <cp:revision>2</cp:revision>
  <dcterms:created xsi:type="dcterms:W3CDTF">2014-12-09T18:56:00Z</dcterms:created>
  <dcterms:modified xsi:type="dcterms:W3CDTF">2014-12-09T18:56:00Z</dcterms:modified>
</cp:coreProperties>
</file>